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7AC7" w:rsidRPr="009F1C88" w:rsidRDefault="00EB7AC7" w:rsidP="009F1C88">
      <w:pPr>
        <w:jc w:val="right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9F1C88">
            <w:rPr>
              <w:sz w:val="22"/>
              <w:szCs w:val="22"/>
            </w:rPr>
            <w:t>Zagreb</w:t>
          </w:r>
        </w:smartTag>
      </w:smartTag>
      <w:r w:rsidRPr="009F1C88">
        <w:rPr>
          <w:sz w:val="22"/>
          <w:szCs w:val="22"/>
        </w:rPr>
        <w:t xml:space="preserve">, </w:t>
      </w:r>
      <w:r>
        <w:rPr>
          <w:sz w:val="22"/>
          <w:szCs w:val="22"/>
        </w:rPr>
        <w:t>10.</w:t>
      </w:r>
      <w:r w:rsidRPr="009F1C88">
        <w:rPr>
          <w:sz w:val="22"/>
          <w:szCs w:val="22"/>
        </w:rPr>
        <w:t xml:space="preserve"> li</w:t>
      </w:r>
      <w:r>
        <w:rPr>
          <w:sz w:val="22"/>
          <w:szCs w:val="22"/>
        </w:rPr>
        <w:t>stopada</w:t>
      </w:r>
      <w:r w:rsidRPr="009F1C88">
        <w:rPr>
          <w:sz w:val="22"/>
          <w:szCs w:val="22"/>
        </w:rPr>
        <w:t xml:space="preserve"> 2011. godine</w:t>
      </w:r>
    </w:p>
    <w:p w:rsidR="00EB7AC7" w:rsidRPr="009F1C88" w:rsidRDefault="00EB7AC7" w:rsidP="009F1C88">
      <w:pPr>
        <w:rPr>
          <w:sz w:val="22"/>
          <w:szCs w:val="22"/>
        </w:rPr>
      </w:pPr>
    </w:p>
    <w:p w:rsidR="00EB7AC7" w:rsidRPr="009F1C88" w:rsidRDefault="00EB7AC7" w:rsidP="009F1C88">
      <w:pPr>
        <w:rPr>
          <w:b/>
          <w:bCs/>
          <w:sz w:val="22"/>
          <w:szCs w:val="22"/>
        </w:rPr>
      </w:pPr>
      <w:r w:rsidRPr="009F1C88">
        <w:rPr>
          <w:b/>
          <w:bCs/>
          <w:sz w:val="22"/>
          <w:szCs w:val="22"/>
        </w:rPr>
        <w:t>N/p</w:t>
      </w:r>
    </w:p>
    <w:p w:rsidR="00EB7AC7" w:rsidRPr="009F1C88" w:rsidRDefault="00EB7AC7" w:rsidP="009F1C88">
      <w:pPr>
        <w:rPr>
          <w:b/>
          <w:bCs/>
          <w:sz w:val="22"/>
          <w:szCs w:val="22"/>
        </w:rPr>
      </w:pPr>
      <w:r w:rsidRPr="009F1C88">
        <w:rPr>
          <w:b/>
          <w:bCs/>
          <w:sz w:val="22"/>
          <w:szCs w:val="22"/>
        </w:rPr>
        <w:t>G. Dražen Lučić</w:t>
      </w:r>
    </w:p>
    <w:p w:rsidR="00EB7AC7" w:rsidRPr="009F1C88" w:rsidRDefault="00EB7AC7" w:rsidP="009F1C88">
      <w:pPr>
        <w:rPr>
          <w:b/>
          <w:bCs/>
          <w:sz w:val="22"/>
          <w:szCs w:val="22"/>
        </w:rPr>
      </w:pPr>
      <w:r w:rsidRPr="009F1C88">
        <w:rPr>
          <w:b/>
          <w:bCs/>
          <w:sz w:val="22"/>
          <w:szCs w:val="22"/>
        </w:rPr>
        <w:t xml:space="preserve">Ravnatelj </w:t>
      </w:r>
    </w:p>
    <w:p w:rsidR="00EB7AC7" w:rsidRPr="009F1C88" w:rsidRDefault="00EB7AC7" w:rsidP="009F1C88">
      <w:pPr>
        <w:ind w:right="-1278"/>
        <w:rPr>
          <w:b/>
          <w:bCs/>
          <w:sz w:val="22"/>
          <w:szCs w:val="22"/>
        </w:rPr>
      </w:pPr>
      <w:r w:rsidRPr="009F1C88">
        <w:rPr>
          <w:b/>
          <w:bCs/>
          <w:sz w:val="22"/>
          <w:szCs w:val="22"/>
        </w:rPr>
        <w:t>Hrvatska agencija za poštu i elektroničke komunikacije</w:t>
      </w:r>
    </w:p>
    <w:p w:rsidR="00EB7AC7" w:rsidRPr="009F1C88" w:rsidRDefault="00EB7AC7" w:rsidP="009F1C88">
      <w:pPr>
        <w:ind w:right="-1278"/>
        <w:rPr>
          <w:b/>
          <w:bCs/>
          <w:sz w:val="22"/>
          <w:szCs w:val="22"/>
        </w:rPr>
      </w:pPr>
      <w:r w:rsidRPr="009F1C88">
        <w:rPr>
          <w:b/>
          <w:bCs/>
          <w:sz w:val="22"/>
          <w:szCs w:val="22"/>
        </w:rPr>
        <w:t>Jurišićeva 13</w:t>
      </w:r>
    </w:p>
    <w:p w:rsidR="00EB7AC7" w:rsidRPr="009F1C88" w:rsidRDefault="00EB7AC7" w:rsidP="009F1C88">
      <w:pPr>
        <w:ind w:right="-1278"/>
        <w:rPr>
          <w:b/>
          <w:bCs/>
          <w:sz w:val="22"/>
          <w:szCs w:val="22"/>
        </w:rPr>
      </w:pPr>
      <w:r w:rsidRPr="009F1C88">
        <w:rPr>
          <w:b/>
          <w:bCs/>
          <w:sz w:val="22"/>
          <w:szCs w:val="22"/>
        </w:rPr>
        <w:t xml:space="preserve">HR-10 000 </w:t>
      </w:r>
      <w:smartTag w:uri="urn:schemas-microsoft-com:office:smarttags" w:element="place">
        <w:r w:rsidRPr="009F1C88">
          <w:rPr>
            <w:b/>
            <w:bCs/>
            <w:sz w:val="22"/>
            <w:szCs w:val="22"/>
          </w:rPr>
          <w:t>ZAGREB</w:t>
        </w:r>
      </w:smartTag>
    </w:p>
    <w:p w:rsidR="00EB7AC7" w:rsidRDefault="00EB7AC7" w:rsidP="009F1C88">
      <w:pPr>
        <w:rPr>
          <w:sz w:val="22"/>
          <w:szCs w:val="22"/>
        </w:rPr>
      </w:pPr>
    </w:p>
    <w:p w:rsidR="00EB7AC7" w:rsidRPr="009F1C88" w:rsidRDefault="00EB7AC7" w:rsidP="009F1C88">
      <w:pPr>
        <w:rPr>
          <w:sz w:val="22"/>
          <w:szCs w:val="22"/>
        </w:rPr>
      </w:pPr>
    </w:p>
    <w:p w:rsidR="00EB7AC7" w:rsidRPr="00EE5F5A" w:rsidRDefault="00EB7AC7" w:rsidP="009F1C88">
      <w:pPr>
        <w:pStyle w:val="Heading5"/>
        <w:shd w:val="clear" w:color="auto" w:fill="FFFFFF"/>
        <w:spacing w:line="150" w:lineRule="atLeast"/>
        <w:ind w:left="1260" w:hanging="1260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 xml:space="preserve">PREDMET:  </w:t>
      </w:r>
      <w:r w:rsidRPr="00EE5F5A">
        <w:rPr>
          <w:sz w:val="22"/>
          <w:szCs w:val="22"/>
          <w:lang w:val="hr-HR"/>
        </w:rPr>
        <w:tab/>
      </w:r>
      <w:r w:rsidRPr="00EE5F5A">
        <w:rPr>
          <w:b/>
          <w:bCs/>
          <w:sz w:val="22"/>
          <w:szCs w:val="22"/>
          <w:u w:val="single"/>
          <w:lang w:val="hr-HR"/>
        </w:rPr>
        <w:t>Javna rasprava o Zajedničkim europskim stajalištima za Svjetsku radiokomunikacijsku konferenciju (WRC) u siječnju/veljači 2012. godine</w:t>
      </w:r>
    </w:p>
    <w:p w:rsidR="00EB7AC7" w:rsidRPr="00EE5F5A" w:rsidRDefault="00EB7AC7" w:rsidP="009F1C88">
      <w:pPr>
        <w:ind w:left="1416" w:hanging="156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>- komentari i prijedlozi, daju se</w:t>
      </w:r>
    </w:p>
    <w:p w:rsidR="00EB7AC7" w:rsidRPr="00EE5F5A" w:rsidRDefault="00EB7AC7" w:rsidP="009F1C88">
      <w:pPr>
        <w:ind w:left="1416" w:hanging="156"/>
        <w:rPr>
          <w:sz w:val="22"/>
          <w:szCs w:val="22"/>
          <w:lang w:val="hr-HR"/>
        </w:rPr>
      </w:pPr>
    </w:p>
    <w:p w:rsidR="00EB7AC7" w:rsidRPr="00EE5F5A" w:rsidRDefault="00EB7AC7" w:rsidP="009F1C88">
      <w:pPr>
        <w:ind w:left="1416" w:hanging="156"/>
        <w:rPr>
          <w:sz w:val="22"/>
          <w:szCs w:val="22"/>
          <w:lang w:val="hr-HR"/>
        </w:rPr>
      </w:pPr>
    </w:p>
    <w:p w:rsidR="00EB7AC7" w:rsidRPr="00EE5F5A" w:rsidRDefault="00EB7AC7" w:rsidP="009F1C88">
      <w:pPr>
        <w:pBdr>
          <w:top w:val="single" w:sz="4" w:space="1" w:color="auto"/>
        </w:pBdr>
        <w:jc w:val="both"/>
        <w:rPr>
          <w:sz w:val="22"/>
          <w:szCs w:val="22"/>
          <w:lang w:val="hr-HR"/>
        </w:rPr>
      </w:pPr>
    </w:p>
    <w:p w:rsidR="00EB7AC7" w:rsidRPr="00EE5F5A" w:rsidRDefault="00EB7AC7" w:rsidP="009F1C88">
      <w:pPr>
        <w:pBdr>
          <w:top w:val="single" w:sz="4" w:space="1" w:color="auto"/>
        </w:pBdr>
        <w:jc w:val="both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 xml:space="preserve">Poštovani, </w:t>
      </w:r>
    </w:p>
    <w:p w:rsidR="00EB7AC7" w:rsidRPr="00EE5F5A" w:rsidRDefault="00EB7AC7" w:rsidP="009F1C88">
      <w:pPr>
        <w:pBdr>
          <w:top w:val="single" w:sz="4" w:space="1" w:color="auto"/>
        </w:pBdr>
        <w:jc w:val="both"/>
        <w:rPr>
          <w:sz w:val="22"/>
          <w:szCs w:val="22"/>
          <w:lang w:val="hr-HR"/>
        </w:rPr>
      </w:pPr>
    </w:p>
    <w:p w:rsidR="00EB7AC7" w:rsidRPr="00EE5F5A" w:rsidRDefault="00EB7AC7" w:rsidP="009F1C88">
      <w:pPr>
        <w:jc w:val="both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>nastavno na otvaranje javne rasprave o Zajedničkim europskim stajalištima (dalje u tekstu: ECP) za Svjetsku radiokomunikacijsku konferenciju u siječnju/veljači 2012. godine (dalje u tekstu: WRC-12), ovim putem Udruga pokretnih komunikacija Hrvatske (dalje u tekstu: UPKH) u ime svojih članova, operatora u pokretnim elektroničkim komunikacijskim mrežama, pozdravlja inicijativu Hrvatske agencije za poštu i elektroničke komunikacije</w:t>
      </w:r>
      <w:r>
        <w:rPr>
          <w:sz w:val="22"/>
          <w:szCs w:val="22"/>
          <w:lang w:val="hr-HR"/>
        </w:rPr>
        <w:t xml:space="preserve"> </w:t>
      </w:r>
      <w:r w:rsidRPr="00EE5F5A">
        <w:rPr>
          <w:sz w:val="22"/>
          <w:szCs w:val="22"/>
          <w:lang w:val="hr-HR"/>
        </w:rPr>
        <w:t>da otvori predmetnu javnu raspravu, te dostavlja komentare na sljedeće dvije točke:</w:t>
      </w:r>
    </w:p>
    <w:p w:rsidR="00EB7AC7" w:rsidRPr="00EE5F5A" w:rsidRDefault="00EB7AC7" w:rsidP="009F1C88">
      <w:pPr>
        <w:pBdr>
          <w:top w:val="single" w:sz="4" w:space="1" w:color="auto"/>
        </w:pBdr>
        <w:jc w:val="both"/>
        <w:rPr>
          <w:sz w:val="22"/>
          <w:szCs w:val="22"/>
          <w:lang w:val="hr-HR"/>
        </w:rPr>
      </w:pPr>
    </w:p>
    <w:p w:rsidR="00EB7AC7" w:rsidRPr="00EE5F5A" w:rsidRDefault="00EB7AC7" w:rsidP="009F1C88">
      <w:pPr>
        <w:pBdr>
          <w:top w:val="single" w:sz="4" w:space="1" w:color="auto"/>
        </w:pBdr>
        <w:jc w:val="both"/>
        <w:rPr>
          <w:sz w:val="22"/>
          <w:szCs w:val="22"/>
          <w:lang w:val="hr-HR"/>
        </w:rPr>
      </w:pPr>
    </w:p>
    <w:p w:rsidR="00EB7AC7" w:rsidRPr="00EE5F5A" w:rsidRDefault="00EB7AC7" w:rsidP="009F1C88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b/>
          <w:bCs/>
          <w:sz w:val="22"/>
          <w:szCs w:val="22"/>
          <w:lang w:val="hr-HR"/>
        </w:rPr>
      </w:pPr>
      <w:r w:rsidRPr="00EE5F5A">
        <w:rPr>
          <w:b/>
          <w:bCs/>
          <w:sz w:val="22"/>
          <w:szCs w:val="22"/>
          <w:lang w:val="hr-HR"/>
        </w:rPr>
        <w:t>Al. 1.17 - dijeljenje između pokretne službe i ostalih službi na 790-862 MHz</w:t>
      </w:r>
    </w:p>
    <w:p w:rsidR="00EB7AC7" w:rsidRPr="00EE5F5A" w:rsidRDefault="00EB7AC7" w:rsidP="009F1C88">
      <w:pPr>
        <w:jc w:val="both"/>
        <w:rPr>
          <w:sz w:val="22"/>
          <w:szCs w:val="22"/>
          <w:lang w:val="hr-HR"/>
        </w:rPr>
      </w:pPr>
    </w:p>
    <w:p w:rsidR="00EB7AC7" w:rsidRPr="00EE5F5A" w:rsidRDefault="00EB7AC7" w:rsidP="00A353B5">
      <w:pPr>
        <w:ind w:left="360"/>
        <w:jc w:val="both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>UPKH je mišljenja kako odluke koje će se na WRC-12 donijeti ne bi smjele:</w:t>
      </w:r>
    </w:p>
    <w:p w:rsidR="00EB7AC7" w:rsidRPr="00EE5F5A" w:rsidRDefault="00EB7AC7" w:rsidP="001D6B49">
      <w:pPr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>ograničavati ili otežavati omogućavanja korištenja 790-862 MHz područja (dalje u tekstu: 800 MHz područje) za potrebe pokretnih službi (IMT);</w:t>
      </w:r>
    </w:p>
    <w:p w:rsidR="00EB7AC7" w:rsidRPr="00EE5F5A" w:rsidRDefault="00EB7AC7" w:rsidP="001D6B49">
      <w:pPr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>sprječavati ili zaobilaziti usklađivanje na međunarodnoj razini pri određivanju namjene 800 MHz područja;</w:t>
      </w:r>
    </w:p>
    <w:p w:rsidR="00EB7AC7" w:rsidRPr="00EE5F5A" w:rsidRDefault="00EB7AC7" w:rsidP="001D6B49">
      <w:pPr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 xml:space="preserve">komplicirati regulatorne procedure između pojedinih administracija. </w:t>
      </w:r>
    </w:p>
    <w:p w:rsidR="00EB7AC7" w:rsidRPr="00EE5F5A" w:rsidRDefault="00EB7AC7" w:rsidP="00A353B5">
      <w:pPr>
        <w:ind w:left="360"/>
        <w:jc w:val="both"/>
        <w:rPr>
          <w:sz w:val="22"/>
          <w:szCs w:val="22"/>
          <w:lang w:val="hr-HR"/>
        </w:rPr>
      </w:pPr>
    </w:p>
    <w:p w:rsidR="00EB7AC7" w:rsidRPr="00EE5F5A" w:rsidRDefault="00EB7AC7" w:rsidP="00ED20BB">
      <w:pPr>
        <w:ind w:left="360"/>
        <w:jc w:val="both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 xml:space="preserve">Polazeći od takvog stava, te uzimajući u obzir i zaključak do sada provedenih studija kako mogući kumulativni utjecaj radijskih postaja u pokretnoj mreži ne bi u praksi imao značajan utjecaj na interferencije u radiodifuzijskim službama, odnosno kako pri tome postoji dovoljna zaštitna razina kako bi se izbjegle interferencije, </w:t>
      </w:r>
      <w:r w:rsidRPr="00EE5F5A">
        <w:rPr>
          <w:b/>
          <w:bCs/>
          <w:sz w:val="22"/>
          <w:szCs w:val="22"/>
          <w:lang w:val="hr-HR"/>
        </w:rPr>
        <w:t>UPKH podržava prihvaćanje metode A1 opcije 1</w:t>
      </w:r>
      <w:r w:rsidRPr="00EE5F5A">
        <w:rPr>
          <w:sz w:val="22"/>
          <w:szCs w:val="22"/>
          <w:lang w:val="hr-HR"/>
        </w:rPr>
        <w:t xml:space="preserve"> kako je navedeno u ECP-u za točku 1.17.</w:t>
      </w:r>
    </w:p>
    <w:p w:rsidR="00EB7AC7" w:rsidRPr="00EE5F5A" w:rsidRDefault="00EB7AC7" w:rsidP="00ED20BB">
      <w:pPr>
        <w:ind w:left="360"/>
        <w:jc w:val="both"/>
        <w:rPr>
          <w:sz w:val="22"/>
          <w:szCs w:val="22"/>
          <w:lang w:val="hr-HR"/>
        </w:rPr>
      </w:pPr>
    </w:p>
    <w:p w:rsidR="00EB7AC7" w:rsidRPr="00EE5F5A" w:rsidRDefault="00EB7AC7" w:rsidP="00ED20BB">
      <w:pPr>
        <w:ind w:left="360"/>
        <w:jc w:val="both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 xml:space="preserve">S obzirom na činjenicu kako se do 2013. godine u Europskoj uniji, kao i drugim europskim državama planira omogućiti raspoloživost 800 MHz područja pokretnim službama, odnosno </w:t>
      </w:r>
      <w:r>
        <w:rPr>
          <w:sz w:val="22"/>
          <w:szCs w:val="22"/>
          <w:lang w:val="hr-HR"/>
        </w:rPr>
        <w:t>premještanje</w:t>
      </w:r>
      <w:r w:rsidRPr="00EE5F5A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postojećih </w:t>
      </w:r>
      <w:r w:rsidRPr="00EE5F5A">
        <w:rPr>
          <w:sz w:val="22"/>
          <w:szCs w:val="22"/>
          <w:lang w:val="hr-HR"/>
        </w:rPr>
        <w:t>radiodifuzijskih službi iz 800 MHz područja</w:t>
      </w:r>
      <w:r>
        <w:rPr>
          <w:sz w:val="22"/>
          <w:szCs w:val="22"/>
          <w:lang w:val="hr-HR"/>
        </w:rPr>
        <w:t xml:space="preserve"> u niže frekvencijsko područje,</w:t>
      </w:r>
      <w:r w:rsidRPr="00EE5F5A">
        <w:rPr>
          <w:sz w:val="22"/>
          <w:szCs w:val="22"/>
          <w:lang w:val="hr-HR"/>
        </w:rPr>
        <w:t xml:space="preserve"> pretpostavljamo da će razina potrebne koordinacije između pokretnih i radiodifuzijskih službi s vremenom postajati sve manja.</w:t>
      </w:r>
    </w:p>
    <w:p w:rsidR="00EB7AC7" w:rsidRPr="00EE5F5A" w:rsidRDefault="00EB7AC7" w:rsidP="00ED20BB">
      <w:pPr>
        <w:ind w:left="360"/>
        <w:jc w:val="both"/>
        <w:rPr>
          <w:sz w:val="22"/>
          <w:szCs w:val="22"/>
          <w:lang w:val="hr-HR"/>
        </w:rPr>
      </w:pPr>
    </w:p>
    <w:p w:rsidR="00EB7AC7" w:rsidRPr="00EE5F5A" w:rsidDel="00A353B5" w:rsidRDefault="00EB7AC7" w:rsidP="00ED20BB">
      <w:pPr>
        <w:ind w:left="360"/>
        <w:jc w:val="both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>Međutim, s obzirom na dinamiku prelaska s analognog na digitalno odašiljanje televizijskih programa u okruženju oko Republike Hrvatske, postavlja se pitanje da li je neutralan stav o zaštiti pokretnih službi od radiodifuzijskih službi, kako je navedeno u ECP-u za točku 1.17 dovoljan kako bi se moglo omogući</w:t>
      </w:r>
      <w:r>
        <w:rPr>
          <w:sz w:val="22"/>
          <w:szCs w:val="22"/>
          <w:lang w:val="hr-HR"/>
        </w:rPr>
        <w:t>ti</w:t>
      </w:r>
      <w:r w:rsidRPr="00EE5F5A">
        <w:rPr>
          <w:sz w:val="22"/>
          <w:szCs w:val="22"/>
          <w:lang w:val="hr-HR"/>
        </w:rPr>
        <w:t xml:space="preserve"> korištenje 800 MHz područja za pokretne službe u Republici Hrvatskoj </w:t>
      </w:r>
      <w:r>
        <w:rPr>
          <w:sz w:val="22"/>
          <w:szCs w:val="22"/>
          <w:lang w:val="hr-HR"/>
        </w:rPr>
        <w:t xml:space="preserve">u slučaju ukoliko bi se </w:t>
      </w:r>
      <w:r w:rsidRPr="00EE5F5A">
        <w:rPr>
          <w:sz w:val="22"/>
          <w:szCs w:val="22"/>
          <w:lang w:val="hr-HR"/>
        </w:rPr>
        <w:t xml:space="preserve">to frekvencijsko područje </w:t>
      </w:r>
      <w:r>
        <w:rPr>
          <w:sz w:val="22"/>
          <w:szCs w:val="22"/>
          <w:lang w:val="hr-HR"/>
        </w:rPr>
        <w:t xml:space="preserve">nastavilo </w:t>
      </w:r>
      <w:r w:rsidRPr="00EE5F5A">
        <w:rPr>
          <w:sz w:val="22"/>
          <w:szCs w:val="22"/>
          <w:lang w:val="hr-HR"/>
        </w:rPr>
        <w:t>koristi</w:t>
      </w:r>
      <w:r>
        <w:rPr>
          <w:sz w:val="22"/>
          <w:szCs w:val="22"/>
          <w:lang w:val="hr-HR"/>
        </w:rPr>
        <w:t>ti</w:t>
      </w:r>
      <w:r w:rsidRPr="00EE5F5A">
        <w:rPr>
          <w:sz w:val="22"/>
          <w:szCs w:val="22"/>
          <w:lang w:val="hr-HR"/>
        </w:rPr>
        <w:t xml:space="preserve"> za radiodifuzijske službe u susjednim državama</w:t>
      </w:r>
      <w:r>
        <w:rPr>
          <w:sz w:val="22"/>
          <w:szCs w:val="22"/>
          <w:lang w:val="hr-HR"/>
        </w:rPr>
        <w:t xml:space="preserve"> i nakon 2013. godine</w:t>
      </w:r>
      <w:r w:rsidRPr="00EE5F5A">
        <w:rPr>
          <w:sz w:val="22"/>
          <w:szCs w:val="22"/>
          <w:lang w:val="hr-HR"/>
        </w:rPr>
        <w:t>.</w:t>
      </w:r>
    </w:p>
    <w:p w:rsidR="00EB7AC7" w:rsidRPr="00EE5F5A" w:rsidRDefault="00EB7AC7" w:rsidP="00A353B5">
      <w:pPr>
        <w:ind w:left="360"/>
        <w:jc w:val="both"/>
        <w:rPr>
          <w:sz w:val="22"/>
          <w:szCs w:val="22"/>
          <w:lang w:val="hr-HR"/>
        </w:rPr>
      </w:pPr>
    </w:p>
    <w:p w:rsidR="00EB7AC7" w:rsidRPr="00EE5F5A" w:rsidRDefault="00EB7AC7" w:rsidP="00B70886">
      <w:pPr>
        <w:ind w:left="360"/>
        <w:jc w:val="both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 xml:space="preserve">Slijedom prethodnog navedenog pozivamo predstavnike Republike Hrvatske na pripremnim sastancima za WRC-12,  kao i na samom WRC-12, da podrže finalni ECP za pitanje A u točki 1.17, međutim pri tome pozivamo na oprez po pitanju zaštite pokretnih službi u 800 MHz području. </w:t>
      </w:r>
    </w:p>
    <w:p w:rsidR="00EB7AC7" w:rsidRPr="00EE5F5A" w:rsidRDefault="00EB7AC7" w:rsidP="009F1C88">
      <w:pPr>
        <w:pBdr>
          <w:bottom w:val="single" w:sz="6" w:space="1" w:color="auto"/>
        </w:pBdr>
        <w:ind w:left="360"/>
        <w:jc w:val="both"/>
        <w:rPr>
          <w:sz w:val="22"/>
          <w:szCs w:val="22"/>
          <w:lang w:val="hr-HR"/>
        </w:rPr>
      </w:pPr>
    </w:p>
    <w:p w:rsidR="00EB7AC7" w:rsidRPr="00EE5F5A" w:rsidRDefault="00EB7AC7" w:rsidP="009F1C88">
      <w:pPr>
        <w:ind w:left="360"/>
        <w:jc w:val="both"/>
        <w:rPr>
          <w:sz w:val="22"/>
          <w:szCs w:val="22"/>
          <w:lang w:val="hr-HR"/>
        </w:rPr>
      </w:pPr>
    </w:p>
    <w:p w:rsidR="00EB7AC7" w:rsidRPr="00EE5F5A" w:rsidRDefault="00EB7AC7" w:rsidP="009F1C88">
      <w:pPr>
        <w:ind w:left="360"/>
        <w:jc w:val="both"/>
        <w:rPr>
          <w:sz w:val="22"/>
          <w:szCs w:val="22"/>
          <w:lang w:val="hr-HR"/>
        </w:rPr>
      </w:pPr>
    </w:p>
    <w:p w:rsidR="00EB7AC7" w:rsidRPr="00EE5F5A" w:rsidRDefault="00EB7AC7" w:rsidP="009F1C88">
      <w:pPr>
        <w:ind w:left="360"/>
        <w:jc w:val="both"/>
        <w:rPr>
          <w:sz w:val="22"/>
          <w:szCs w:val="22"/>
          <w:lang w:val="hr-HR"/>
        </w:rPr>
      </w:pPr>
    </w:p>
    <w:p w:rsidR="00EB7AC7" w:rsidRPr="00EE5F5A" w:rsidRDefault="00EB7AC7" w:rsidP="009F1C88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jc w:val="both"/>
        <w:rPr>
          <w:b/>
          <w:bCs/>
          <w:sz w:val="22"/>
          <w:szCs w:val="22"/>
          <w:lang w:val="hr-HR"/>
        </w:rPr>
      </w:pPr>
      <w:r w:rsidRPr="00EE5F5A">
        <w:rPr>
          <w:b/>
          <w:bCs/>
          <w:sz w:val="22"/>
          <w:szCs w:val="22"/>
          <w:lang w:val="hr-HR"/>
        </w:rPr>
        <w:t>Al 8.2 – Dnevni red Svjetske radiokomunikacijske konferencije 2015/2016</w:t>
      </w:r>
    </w:p>
    <w:p w:rsidR="00EB7AC7" w:rsidRPr="00EE5F5A" w:rsidRDefault="00EB7AC7" w:rsidP="009F1C88">
      <w:pPr>
        <w:jc w:val="both"/>
        <w:rPr>
          <w:sz w:val="22"/>
          <w:szCs w:val="22"/>
          <w:lang w:val="hr-HR"/>
        </w:rPr>
      </w:pPr>
    </w:p>
    <w:p w:rsidR="00EB7AC7" w:rsidRPr="00EE5F5A" w:rsidRDefault="00EB7AC7" w:rsidP="009F1C88">
      <w:pPr>
        <w:ind w:left="360"/>
        <w:jc w:val="both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>Iako ECP za točku 8.2 nije stavljen na predmetnu javnu raspravu (pretpostavljamo da je razlog tome što još nije finaliziran ECP), smatramo iznimno važnim ukazati na sljedeće.</w:t>
      </w:r>
    </w:p>
    <w:p w:rsidR="00EB7AC7" w:rsidRPr="00EE5F5A" w:rsidRDefault="00EB7AC7" w:rsidP="009F1C88">
      <w:pPr>
        <w:ind w:left="360"/>
        <w:jc w:val="both"/>
        <w:rPr>
          <w:sz w:val="22"/>
          <w:szCs w:val="22"/>
          <w:lang w:val="hr-HR"/>
        </w:rPr>
      </w:pPr>
    </w:p>
    <w:p w:rsidR="00EB7AC7" w:rsidRPr="00EE5F5A" w:rsidRDefault="00EB7AC7" w:rsidP="009F1C88">
      <w:pPr>
        <w:ind w:left="360"/>
        <w:jc w:val="both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 xml:space="preserve">Osnovni preduvjet za razvoj pokretnih elektroničkih komunikacijskih mreža i udovoljavanje potrebama korisnika za korištenjem usluga putem pokretnih elektroničkih komunikacijskih mreža predstavlja raspoloživost </w:t>
      </w:r>
      <w:r>
        <w:rPr>
          <w:sz w:val="22"/>
          <w:szCs w:val="22"/>
          <w:lang w:val="hr-HR"/>
        </w:rPr>
        <w:t>radio</w:t>
      </w:r>
      <w:r w:rsidRPr="00EE5F5A">
        <w:rPr>
          <w:sz w:val="22"/>
          <w:szCs w:val="22"/>
          <w:lang w:val="hr-HR"/>
        </w:rPr>
        <w:t>frekvencijskog spektra.</w:t>
      </w:r>
    </w:p>
    <w:p w:rsidR="00EB7AC7" w:rsidRPr="00EE5F5A" w:rsidRDefault="00EB7AC7" w:rsidP="009F1C88">
      <w:pPr>
        <w:ind w:left="360"/>
        <w:jc w:val="both"/>
        <w:rPr>
          <w:sz w:val="22"/>
          <w:szCs w:val="22"/>
          <w:lang w:val="hr-HR"/>
        </w:rPr>
      </w:pPr>
    </w:p>
    <w:p w:rsidR="00EB7AC7" w:rsidRDefault="00EB7AC7" w:rsidP="009F1C88">
      <w:pPr>
        <w:ind w:left="360"/>
        <w:jc w:val="both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>Predviđanja vezano uz korištenje usluga u pokretnim elektroničkim komunikacijskim mrežama ukazuju na to da se s razvojem krajnjih pokretnih uređaja</w:t>
      </w:r>
      <w:r>
        <w:rPr>
          <w:sz w:val="22"/>
          <w:szCs w:val="22"/>
          <w:lang w:val="hr-HR"/>
        </w:rPr>
        <w:t xml:space="preserve"> i sadržaja prikladnih za korištenje na pokretnim uređajima</w:t>
      </w:r>
      <w:r w:rsidRPr="00EE5F5A">
        <w:rPr>
          <w:sz w:val="22"/>
          <w:szCs w:val="22"/>
          <w:lang w:val="hr-HR"/>
        </w:rPr>
        <w:t xml:space="preserve"> može očekivati i značajan </w:t>
      </w:r>
      <w:r>
        <w:rPr>
          <w:sz w:val="22"/>
          <w:szCs w:val="22"/>
          <w:lang w:val="hr-HR"/>
        </w:rPr>
        <w:t xml:space="preserve">porast korištenja podatkovnih usluga, što će postaviti dodatne zahtjeve na osiguravanje potrebnih kapaciteta i </w:t>
      </w:r>
      <w:r w:rsidRPr="00EE5F5A">
        <w:rPr>
          <w:sz w:val="22"/>
          <w:szCs w:val="22"/>
          <w:lang w:val="hr-HR"/>
        </w:rPr>
        <w:t>brzin</w:t>
      </w:r>
      <w:r>
        <w:rPr>
          <w:sz w:val="22"/>
          <w:szCs w:val="22"/>
          <w:lang w:val="hr-HR"/>
        </w:rPr>
        <w:t>a</w:t>
      </w:r>
      <w:r w:rsidRPr="00EE5F5A">
        <w:rPr>
          <w:sz w:val="22"/>
          <w:szCs w:val="22"/>
          <w:lang w:val="hr-HR"/>
        </w:rPr>
        <w:t xml:space="preserve"> prijenosa podataka</w:t>
      </w:r>
      <w:r>
        <w:rPr>
          <w:sz w:val="22"/>
          <w:szCs w:val="22"/>
          <w:lang w:val="hr-HR"/>
        </w:rPr>
        <w:t>.</w:t>
      </w:r>
    </w:p>
    <w:p w:rsidR="00EB7AC7" w:rsidRPr="00EE5F5A" w:rsidRDefault="00EB7AC7" w:rsidP="009F1C88">
      <w:pPr>
        <w:ind w:left="360"/>
        <w:jc w:val="both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 xml:space="preserve"> </w:t>
      </w:r>
    </w:p>
    <w:p w:rsidR="00EB7AC7" w:rsidRPr="00EE5F5A" w:rsidRDefault="00EB7AC7" w:rsidP="009F1C88">
      <w:pPr>
        <w:ind w:left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Ukoliko</w:t>
      </w:r>
      <w:r w:rsidRPr="00EE5F5A">
        <w:rPr>
          <w:sz w:val="22"/>
          <w:szCs w:val="22"/>
          <w:lang w:val="hr-HR"/>
        </w:rPr>
        <w:t xml:space="preserve"> doista dođe do takvog razvoja potražnje usluga u pokretnim elektroničkim komunikacijskim mrežama, trenutno raspoloživi spektar za pokretne službe ne bi bio dostatan za osiguravanje dovoljnih kapaciteta</w:t>
      </w:r>
      <w:r>
        <w:rPr>
          <w:sz w:val="22"/>
          <w:szCs w:val="22"/>
          <w:lang w:val="hr-HR"/>
        </w:rPr>
        <w:t xml:space="preserve"> koji bi takvu potražnju mogli podržati</w:t>
      </w:r>
      <w:r w:rsidRPr="00EE5F5A">
        <w:rPr>
          <w:sz w:val="22"/>
          <w:szCs w:val="22"/>
          <w:lang w:val="hr-HR"/>
        </w:rPr>
        <w:t>.</w:t>
      </w:r>
    </w:p>
    <w:p w:rsidR="00EB7AC7" w:rsidRPr="00EE5F5A" w:rsidRDefault="00EB7AC7" w:rsidP="009F1C88">
      <w:pPr>
        <w:ind w:left="360"/>
        <w:jc w:val="both"/>
        <w:rPr>
          <w:sz w:val="22"/>
          <w:szCs w:val="22"/>
          <w:lang w:val="hr-HR"/>
        </w:rPr>
      </w:pPr>
    </w:p>
    <w:p w:rsidR="00EB7AC7" w:rsidRPr="00EE5F5A" w:rsidRDefault="00EB7AC7" w:rsidP="009F1C88">
      <w:pPr>
        <w:ind w:left="360"/>
        <w:jc w:val="both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>UPKH je stoga stava kako je nužno stvoriti preduvjete kako bi se na sljedećoj Svjetskoj radiokomunikacijskoj konferenciji 2015/2016 (dalje u tekstu WRC-15/16) uopće moglo raspravljati o mogućoj dodatnoj dodjeli spektra za potrebe IMT pokretne službe.</w:t>
      </w:r>
    </w:p>
    <w:p w:rsidR="00EB7AC7" w:rsidRPr="00EE5F5A" w:rsidRDefault="00EB7AC7" w:rsidP="009F1C88">
      <w:pPr>
        <w:ind w:left="360"/>
        <w:jc w:val="both"/>
        <w:rPr>
          <w:sz w:val="22"/>
          <w:szCs w:val="22"/>
          <w:lang w:val="hr-HR"/>
        </w:rPr>
      </w:pPr>
    </w:p>
    <w:p w:rsidR="00EB7AC7" w:rsidRPr="00EE5F5A" w:rsidRDefault="00EB7AC7" w:rsidP="009F1C88">
      <w:pPr>
        <w:ind w:left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Slijedom navedenog p</w:t>
      </w:r>
      <w:r w:rsidRPr="00EE5F5A">
        <w:rPr>
          <w:sz w:val="22"/>
          <w:szCs w:val="22"/>
          <w:lang w:val="hr-HR"/>
        </w:rPr>
        <w:t xml:space="preserve">ozivamo </w:t>
      </w:r>
      <w:r>
        <w:rPr>
          <w:sz w:val="22"/>
          <w:szCs w:val="22"/>
          <w:lang w:val="hr-HR"/>
        </w:rPr>
        <w:t>p</w:t>
      </w:r>
      <w:r w:rsidRPr="00EE5F5A">
        <w:rPr>
          <w:sz w:val="22"/>
          <w:szCs w:val="22"/>
          <w:lang w:val="hr-HR"/>
        </w:rPr>
        <w:t xml:space="preserve">redstavnike Republike Hrvatske na pripremnim sastancima za WRC-12, kao i na samom WRC-12, da </w:t>
      </w:r>
      <w:r w:rsidRPr="00EE5F5A">
        <w:rPr>
          <w:b/>
          <w:bCs/>
          <w:sz w:val="22"/>
          <w:szCs w:val="22"/>
          <w:lang w:val="hr-HR"/>
        </w:rPr>
        <w:t>podrže prijedloge kojima se predviđa uvrštenje na dnevni red WRC-15/16 točke temeljem koje bi se moglo na WRC-15/16 razmotriti moguća potreba za konsolidacijom ili proširenjem spektra namijenjenog za IMT</w:t>
      </w:r>
      <w:r w:rsidRPr="00EE5F5A">
        <w:rPr>
          <w:sz w:val="22"/>
          <w:szCs w:val="22"/>
          <w:lang w:val="hr-HR"/>
        </w:rPr>
        <w:t>.</w:t>
      </w:r>
    </w:p>
    <w:p w:rsidR="00EB7AC7" w:rsidRPr="00EE5F5A" w:rsidRDefault="00EB7AC7" w:rsidP="009F1C88">
      <w:pPr>
        <w:ind w:left="360"/>
        <w:jc w:val="both"/>
        <w:rPr>
          <w:sz w:val="22"/>
          <w:szCs w:val="22"/>
          <w:lang w:val="hr-HR"/>
        </w:rPr>
      </w:pPr>
    </w:p>
    <w:p w:rsidR="00EB7AC7" w:rsidRPr="00EE5F5A" w:rsidRDefault="00EB7AC7" w:rsidP="009F1C88">
      <w:pPr>
        <w:ind w:left="360"/>
        <w:jc w:val="both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>S obzirom da se bilo koja mjera koja bi se i donijela na WRC-15/16 ne bi mogla u širem obujmu primijeniti vjerojatno sve do 2020. godine, smatramo iznimno bitno da se pravovremeno stvore preduvjeti koji bi omogućili raspravu o ovom pitanju.</w:t>
      </w:r>
    </w:p>
    <w:p w:rsidR="00EB7AC7" w:rsidRPr="00EE5F5A" w:rsidRDefault="00EB7AC7" w:rsidP="009F1C88">
      <w:pPr>
        <w:ind w:left="360"/>
        <w:jc w:val="both"/>
        <w:rPr>
          <w:sz w:val="22"/>
          <w:szCs w:val="22"/>
          <w:lang w:val="hr-HR"/>
        </w:rPr>
      </w:pPr>
    </w:p>
    <w:p w:rsidR="00EB7AC7" w:rsidRPr="00EE5F5A" w:rsidRDefault="00EB7AC7" w:rsidP="009F1C88">
      <w:pPr>
        <w:ind w:left="360"/>
        <w:jc w:val="both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>Pri tome prijedlog takve točke dnevnog reda ne mora u ovom trenutku implicirati nužnost dodjele dodatnog spektra namijenjenog za IMT, ali je bitno da se omogući barem rasprava o tome i po potrebi donošenje odgovarajućih odluka ovisno o stvarnom razvoju pokretnih službi u razdoblju do tada.</w:t>
      </w:r>
    </w:p>
    <w:p w:rsidR="00EB7AC7" w:rsidRPr="00EE5F5A" w:rsidRDefault="00EB7AC7" w:rsidP="009F1C88">
      <w:pPr>
        <w:ind w:left="360"/>
        <w:jc w:val="both"/>
        <w:rPr>
          <w:sz w:val="22"/>
          <w:szCs w:val="22"/>
          <w:lang w:val="hr-HR"/>
        </w:rPr>
      </w:pPr>
    </w:p>
    <w:p w:rsidR="00EB7AC7" w:rsidRPr="00EE5F5A" w:rsidRDefault="00EB7AC7" w:rsidP="009F1C88">
      <w:pPr>
        <w:ind w:left="360"/>
        <w:jc w:val="both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>Bez takve točke dnevnog reda ne bi bilo moguće postići suglasnost o mjerama koje bi pridonijele boljem međunarodnom usklađivanju spektra za širo</w:t>
      </w:r>
      <w:r>
        <w:rPr>
          <w:sz w:val="22"/>
          <w:szCs w:val="22"/>
          <w:lang w:val="hr-HR"/>
        </w:rPr>
        <w:t>ko</w:t>
      </w:r>
      <w:r w:rsidRPr="00EE5F5A">
        <w:rPr>
          <w:sz w:val="22"/>
          <w:szCs w:val="22"/>
          <w:lang w:val="hr-HR"/>
        </w:rPr>
        <w:t>poja</w:t>
      </w:r>
      <w:r>
        <w:rPr>
          <w:sz w:val="22"/>
          <w:szCs w:val="22"/>
          <w:lang w:val="hr-HR"/>
        </w:rPr>
        <w:t>sni pristup internet p</w:t>
      </w:r>
      <w:r w:rsidRPr="00EE5F5A">
        <w:rPr>
          <w:sz w:val="22"/>
          <w:szCs w:val="22"/>
          <w:lang w:val="hr-HR"/>
        </w:rPr>
        <w:t xml:space="preserve">utem pokretnih mreža. Određene regionalne mjere bi se istina </w:t>
      </w:r>
      <w:r>
        <w:rPr>
          <w:sz w:val="22"/>
          <w:szCs w:val="22"/>
          <w:lang w:val="hr-HR"/>
        </w:rPr>
        <w:t xml:space="preserve">možda </w:t>
      </w:r>
      <w:r w:rsidRPr="00EE5F5A">
        <w:rPr>
          <w:sz w:val="22"/>
          <w:szCs w:val="22"/>
          <w:lang w:val="hr-HR"/>
        </w:rPr>
        <w:t>moglo provesti međutim navedeno bi vodilo dodatnoj fragmentaciji namjene spektra, što ne bi pridonijelo učinkovitom korištenju spektra, a istovremeno bi usporilo i tehnološki razvoj mreža i kompatibilnost uslu</w:t>
      </w:r>
      <w:r>
        <w:rPr>
          <w:sz w:val="22"/>
          <w:szCs w:val="22"/>
          <w:lang w:val="hr-HR"/>
        </w:rPr>
        <w:t>ga (npr.</w:t>
      </w:r>
      <w:r w:rsidRPr="00EE5F5A">
        <w:rPr>
          <w:sz w:val="22"/>
          <w:szCs w:val="22"/>
          <w:lang w:val="hr-HR"/>
        </w:rPr>
        <w:t xml:space="preserve"> pitanje mogućnosti korištenja međunarodnog roaming).</w:t>
      </w:r>
      <w:r>
        <w:rPr>
          <w:sz w:val="22"/>
          <w:szCs w:val="22"/>
          <w:lang w:val="hr-HR"/>
        </w:rPr>
        <w:t xml:space="preserve"> Podsjećamo kako je upravo međunarodna usklađenost na globalnoj razini pri određivanju namjene spektra za GSM i IMT stvorila preduvjete temeljem kojih je moglo doći do današnjeg razvoja pokretnih mreža.</w:t>
      </w:r>
    </w:p>
    <w:p w:rsidR="00EB7AC7" w:rsidRPr="00EE5F5A" w:rsidRDefault="00EB7AC7" w:rsidP="009F1C88">
      <w:pPr>
        <w:ind w:left="360"/>
        <w:jc w:val="both"/>
        <w:rPr>
          <w:sz w:val="22"/>
          <w:szCs w:val="22"/>
          <w:lang w:val="hr-HR"/>
        </w:rPr>
      </w:pPr>
    </w:p>
    <w:p w:rsidR="00EB7AC7" w:rsidRPr="00EE5F5A" w:rsidRDefault="00EB7AC7" w:rsidP="009F1C88">
      <w:pPr>
        <w:ind w:left="360"/>
        <w:jc w:val="both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 xml:space="preserve">Dodatno smatramo bitnim istaknuti i važnost da se </w:t>
      </w:r>
      <w:r>
        <w:rPr>
          <w:sz w:val="22"/>
          <w:szCs w:val="22"/>
          <w:lang w:val="hr-HR"/>
        </w:rPr>
        <w:t xml:space="preserve">pri tome </w:t>
      </w:r>
      <w:r w:rsidRPr="00EE5F5A">
        <w:rPr>
          <w:sz w:val="22"/>
          <w:szCs w:val="22"/>
          <w:lang w:val="hr-HR"/>
        </w:rPr>
        <w:t xml:space="preserve">iz moguće rasprave o namjeni spektra za IMT unaprijed ne isključuje bilo koji dio spektra, </w:t>
      </w:r>
      <w:r>
        <w:rPr>
          <w:sz w:val="22"/>
          <w:szCs w:val="22"/>
          <w:lang w:val="hr-HR"/>
        </w:rPr>
        <w:t>osobito</w:t>
      </w:r>
      <w:r w:rsidRPr="00EE5F5A">
        <w:rPr>
          <w:sz w:val="22"/>
          <w:szCs w:val="22"/>
          <w:lang w:val="hr-HR"/>
        </w:rPr>
        <w:t xml:space="preserve"> ne prije nego se provedu odgovarajuće relevantne studije unutar ITU-R-a. Stoga tražimo da se podrži prijedlog otvorene točke dnevnog reda</w:t>
      </w:r>
      <w:r>
        <w:rPr>
          <w:sz w:val="22"/>
          <w:szCs w:val="22"/>
          <w:lang w:val="hr-HR"/>
        </w:rPr>
        <w:t xml:space="preserve"> na WRC-15/16, odnosno točke koja neće moguću raspravu o namjeni spektra za IMT ograničiti samo na određeno frekvencijsko područje</w:t>
      </w:r>
      <w:r w:rsidRPr="00EE5F5A">
        <w:rPr>
          <w:sz w:val="22"/>
          <w:szCs w:val="22"/>
          <w:lang w:val="hr-HR"/>
        </w:rPr>
        <w:t>.</w:t>
      </w:r>
    </w:p>
    <w:p w:rsidR="00EB7AC7" w:rsidRPr="00EE5F5A" w:rsidRDefault="00EB7AC7" w:rsidP="00A80AFC">
      <w:pPr>
        <w:pBdr>
          <w:bottom w:val="single" w:sz="6" w:space="1" w:color="auto"/>
        </w:pBdr>
        <w:ind w:left="360"/>
        <w:jc w:val="both"/>
        <w:rPr>
          <w:sz w:val="22"/>
          <w:szCs w:val="22"/>
          <w:lang w:val="hr-HR"/>
        </w:rPr>
      </w:pPr>
    </w:p>
    <w:p w:rsidR="00EB7AC7" w:rsidRPr="00EE5F5A" w:rsidRDefault="00EB7AC7" w:rsidP="00A80AFC">
      <w:pPr>
        <w:ind w:left="360"/>
        <w:jc w:val="both"/>
        <w:rPr>
          <w:sz w:val="22"/>
          <w:szCs w:val="22"/>
          <w:lang w:val="hr-HR"/>
        </w:rPr>
      </w:pPr>
    </w:p>
    <w:p w:rsidR="00EB7AC7" w:rsidRPr="00EE5F5A" w:rsidRDefault="00EB7AC7" w:rsidP="00A80AFC">
      <w:pPr>
        <w:jc w:val="both"/>
        <w:rPr>
          <w:sz w:val="22"/>
          <w:szCs w:val="22"/>
          <w:lang w:val="hr-HR"/>
        </w:rPr>
      </w:pPr>
      <w:r w:rsidRPr="00EE5F5A">
        <w:rPr>
          <w:sz w:val="22"/>
          <w:szCs w:val="22"/>
          <w:highlight w:val="yellow"/>
          <w:lang w:val="hr-HR"/>
        </w:rPr>
        <w:t>Za ostale ECP-ove na predmetnoj javnoj raspravi UPKH u ovom trenutku ne vidi potrebu davati komentare.</w:t>
      </w:r>
    </w:p>
    <w:p w:rsidR="00EB7AC7" w:rsidRPr="00EE5F5A" w:rsidRDefault="00EB7AC7" w:rsidP="009F1C88">
      <w:pPr>
        <w:rPr>
          <w:sz w:val="22"/>
          <w:szCs w:val="22"/>
          <w:lang w:val="hr-HR"/>
        </w:rPr>
      </w:pPr>
    </w:p>
    <w:p w:rsidR="00EB7AC7" w:rsidRPr="00EE5F5A" w:rsidRDefault="00EB7AC7" w:rsidP="009F1C88">
      <w:pPr>
        <w:jc w:val="both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>Za sva daljnja pitanja stojimo vam na raspolaganju za daljnja pojašnjenja naših stavova i prijedloga iznesenih u ovome očitovanju.</w:t>
      </w:r>
    </w:p>
    <w:p w:rsidR="00EB7AC7" w:rsidRPr="00EE5F5A" w:rsidRDefault="00EB7AC7" w:rsidP="009F1C88">
      <w:pPr>
        <w:jc w:val="both"/>
        <w:rPr>
          <w:sz w:val="22"/>
          <w:szCs w:val="22"/>
          <w:lang w:val="hr-HR"/>
        </w:rPr>
      </w:pPr>
    </w:p>
    <w:p w:rsidR="00EB7AC7" w:rsidRPr="00EE5F5A" w:rsidRDefault="00EB7AC7" w:rsidP="009F1C88">
      <w:pPr>
        <w:jc w:val="both"/>
        <w:rPr>
          <w:sz w:val="22"/>
          <w:szCs w:val="22"/>
          <w:lang w:val="hr-HR"/>
        </w:rPr>
      </w:pPr>
    </w:p>
    <w:p w:rsidR="00EB7AC7" w:rsidRPr="00EE5F5A" w:rsidRDefault="00EB7AC7" w:rsidP="009F1C88">
      <w:pPr>
        <w:jc w:val="both"/>
        <w:rPr>
          <w:sz w:val="22"/>
          <w:szCs w:val="22"/>
          <w:lang w:val="hr-HR"/>
        </w:rPr>
      </w:pPr>
    </w:p>
    <w:p w:rsidR="00EB7AC7" w:rsidRPr="00EE5F5A" w:rsidRDefault="00EB7AC7" w:rsidP="009F1C88">
      <w:pPr>
        <w:jc w:val="both"/>
        <w:rPr>
          <w:sz w:val="22"/>
          <w:szCs w:val="22"/>
          <w:lang w:val="hr-HR"/>
        </w:rPr>
      </w:pPr>
      <w:r w:rsidRPr="00EE5F5A">
        <w:rPr>
          <w:sz w:val="22"/>
          <w:szCs w:val="22"/>
          <w:lang w:val="hr-HR"/>
        </w:rPr>
        <w:t>S poštovanjem,</w:t>
      </w:r>
    </w:p>
    <w:p w:rsidR="00EB7AC7" w:rsidRPr="00F95DFC" w:rsidRDefault="00EB7AC7" w:rsidP="009F1C88">
      <w:pPr>
        <w:jc w:val="both"/>
        <w:rPr>
          <w:sz w:val="22"/>
          <w:szCs w:val="22"/>
          <w:lang w:val="hr-HR"/>
        </w:rPr>
      </w:pPr>
    </w:p>
    <w:p w:rsidR="00EB7AC7" w:rsidRPr="00F95DFC" w:rsidRDefault="00EB7AC7" w:rsidP="009F1C88">
      <w:pPr>
        <w:jc w:val="both"/>
        <w:rPr>
          <w:sz w:val="22"/>
          <w:szCs w:val="22"/>
          <w:lang w:val="hr-HR"/>
        </w:rPr>
      </w:pPr>
    </w:p>
    <w:p w:rsidR="00EB7AC7" w:rsidRPr="00F95DFC" w:rsidRDefault="00EB7AC7" w:rsidP="009F1C8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</w:rPr>
        <w:t>Za</w:t>
      </w:r>
      <w:r w:rsidRPr="00F95DFC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>UPKH</w:t>
      </w:r>
      <w:r w:rsidRPr="00F95DFC">
        <w:rPr>
          <w:sz w:val="22"/>
          <w:szCs w:val="22"/>
          <w:lang w:val="hr-HR"/>
        </w:rPr>
        <w:t>:</w:t>
      </w:r>
    </w:p>
    <w:p w:rsidR="00EB7AC7" w:rsidRPr="00F95DFC" w:rsidRDefault="00EB7AC7" w:rsidP="009F1C88">
      <w:pPr>
        <w:jc w:val="both"/>
        <w:rPr>
          <w:sz w:val="22"/>
          <w:szCs w:val="22"/>
          <w:lang w:val="hr-HR"/>
        </w:rPr>
      </w:pPr>
    </w:p>
    <w:p w:rsidR="00EB7AC7" w:rsidRPr="00F95DFC" w:rsidRDefault="00EB7AC7" w:rsidP="009F1C88">
      <w:pPr>
        <w:rPr>
          <w:sz w:val="22"/>
          <w:szCs w:val="22"/>
          <w:lang w:val="hr-HR"/>
        </w:rPr>
      </w:pPr>
    </w:p>
    <w:p w:rsidR="00EB7AC7" w:rsidRPr="00F95DFC" w:rsidRDefault="00EB7AC7" w:rsidP="009F1C88">
      <w:pPr>
        <w:rPr>
          <w:sz w:val="22"/>
          <w:szCs w:val="22"/>
          <w:lang w:val="hr-HR"/>
        </w:rPr>
      </w:pPr>
      <w:r w:rsidRPr="003A6548">
        <w:rPr>
          <w:sz w:val="22"/>
          <w:szCs w:val="22"/>
        </w:rPr>
        <w:t>Sarita</w:t>
      </w:r>
      <w:r w:rsidRPr="00F95DFC">
        <w:rPr>
          <w:sz w:val="22"/>
          <w:szCs w:val="22"/>
          <w:lang w:val="hr-HR"/>
        </w:rPr>
        <w:t xml:space="preserve"> </w:t>
      </w:r>
      <w:r w:rsidRPr="003A6548">
        <w:rPr>
          <w:sz w:val="22"/>
          <w:szCs w:val="22"/>
        </w:rPr>
        <w:t>Bukov</w:t>
      </w:r>
      <w:r w:rsidRPr="00F95DFC">
        <w:rPr>
          <w:sz w:val="22"/>
          <w:szCs w:val="22"/>
          <w:lang w:val="hr-HR"/>
        </w:rPr>
        <w:t>č</w:t>
      </w:r>
      <w:r w:rsidRPr="003A6548">
        <w:rPr>
          <w:sz w:val="22"/>
          <w:szCs w:val="22"/>
        </w:rPr>
        <w:t>an</w:t>
      </w:r>
      <w:r w:rsidRPr="00F95DFC">
        <w:rPr>
          <w:sz w:val="22"/>
          <w:szCs w:val="22"/>
          <w:lang w:val="hr-HR"/>
        </w:rPr>
        <w:t xml:space="preserve"> </w:t>
      </w:r>
      <w:r w:rsidRPr="003A6548">
        <w:rPr>
          <w:sz w:val="22"/>
          <w:szCs w:val="22"/>
        </w:rPr>
        <w:t>Kvaternik</w:t>
      </w:r>
      <w:r w:rsidRPr="00F95DFC">
        <w:rPr>
          <w:sz w:val="22"/>
          <w:szCs w:val="22"/>
          <w:lang w:val="hr-HR"/>
        </w:rPr>
        <w:t>,</w:t>
      </w:r>
    </w:p>
    <w:p w:rsidR="00EB7AC7" w:rsidRPr="00121329" w:rsidRDefault="00EB7AC7" w:rsidP="009F1C88">
      <w:pPr>
        <w:rPr>
          <w:sz w:val="22"/>
          <w:szCs w:val="22"/>
        </w:rPr>
      </w:pPr>
      <w:r w:rsidRPr="00121329">
        <w:rPr>
          <w:sz w:val="22"/>
          <w:szCs w:val="22"/>
        </w:rPr>
        <w:t>Predsjednica Udruge</w:t>
      </w:r>
    </w:p>
    <w:p w:rsidR="00EB7AC7" w:rsidRPr="009F1C88" w:rsidRDefault="00EB7AC7">
      <w:pPr>
        <w:rPr>
          <w:sz w:val="22"/>
          <w:szCs w:val="22"/>
          <w:lang w:val="hr-HR"/>
        </w:rPr>
      </w:pPr>
    </w:p>
    <w:sectPr w:rsidR="00EB7AC7" w:rsidRPr="009F1C88" w:rsidSect="006949AF">
      <w:footerReference w:type="default" r:id="rId7"/>
      <w:headerReference w:type="first" r:id="rId8"/>
      <w:footerReference w:type="first" r:id="rId9"/>
      <w:pgSz w:w="11909" w:h="16834" w:code="9"/>
      <w:pgMar w:top="1440" w:right="1440" w:bottom="1440" w:left="1440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AC7" w:rsidRDefault="00EB7AC7">
      <w:r>
        <w:separator/>
      </w:r>
    </w:p>
  </w:endnote>
  <w:endnote w:type="continuationSeparator" w:id="0">
    <w:p w:rsidR="00EB7AC7" w:rsidRDefault="00EB7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C7" w:rsidRPr="005C1D04" w:rsidRDefault="00EB7AC7" w:rsidP="00FE5F57">
    <w:pPr>
      <w:pStyle w:val="Header"/>
      <w:spacing w:line="240" w:lineRule="atLeast"/>
      <w:ind w:left="172" w:right="-630"/>
      <w:jc w:val="center"/>
      <w:rPr>
        <w:rFonts w:ascii="Arial Narrow" w:hAnsi="Arial Narrow" w:cs="Arial Narrow"/>
        <w:sz w:val="16"/>
        <w:szCs w:val="16"/>
      </w:rPr>
    </w:pPr>
    <w:r w:rsidRPr="005C1D04">
      <w:rPr>
        <w:rFonts w:ascii="Arial Narrow" w:hAnsi="Arial Narrow" w:cs="Arial Narrow"/>
        <w:sz w:val="16"/>
        <w:szCs w:val="16"/>
      </w:rPr>
      <w:t>UDRUGA POKRETNIH KOMUNIKACIJA HRVATSKE∙MOBILE COMMUNICATION ASSOCIATION OF CROATIA∙</w:t>
    </w:r>
  </w:p>
  <w:p w:rsidR="00EB7AC7" w:rsidRPr="005C1D04" w:rsidRDefault="00EB7AC7" w:rsidP="00FE5F57">
    <w:pPr>
      <w:pStyle w:val="Header"/>
      <w:spacing w:line="240" w:lineRule="atLeast"/>
      <w:ind w:left="172" w:right="-630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Šrapčeva 5/I</w:t>
    </w:r>
    <w:r w:rsidRPr="005C1D04">
      <w:rPr>
        <w:rFonts w:ascii="Arial Narrow" w:hAnsi="Arial Narrow" w:cs="Arial Narrow"/>
        <w:sz w:val="16"/>
        <w:szCs w:val="16"/>
      </w:rPr>
      <w:t>∙HR-10 000 Zagreb∙CROATIA∙ Tel./fax: +385 1 4667-3</w:t>
    </w:r>
    <w:r>
      <w:rPr>
        <w:rFonts w:ascii="Arial Narrow" w:hAnsi="Arial Narrow" w:cs="Arial Narrow"/>
        <w:sz w:val="16"/>
        <w:szCs w:val="16"/>
      </w:rPr>
      <w:t>00</w:t>
    </w:r>
    <w:r w:rsidRPr="005C1D04">
      <w:rPr>
        <w:rFonts w:ascii="Arial Narrow" w:hAnsi="Arial Narrow" w:cs="Arial Narrow"/>
        <w:sz w:val="16"/>
        <w:szCs w:val="16"/>
      </w:rPr>
      <w:t xml:space="preserve"> ∙e-mail: </w:t>
    </w:r>
    <w:hyperlink r:id="rId1" w:history="1">
      <w:r w:rsidRPr="005C1D04">
        <w:rPr>
          <w:rStyle w:val="Hyperlink"/>
          <w:rFonts w:ascii="Arial Narrow" w:hAnsi="Arial Narrow" w:cs="Arial Narrow"/>
        </w:rPr>
        <w:t>upkh@upkh.hr</w:t>
      </w:r>
    </w:hyperlink>
    <w:r w:rsidRPr="005C1D04">
      <w:rPr>
        <w:rFonts w:ascii="Arial Narrow" w:hAnsi="Arial Narrow" w:cs="Arial Narrow"/>
        <w:sz w:val="16"/>
        <w:szCs w:val="16"/>
      </w:rPr>
      <w:t xml:space="preserve"> www.upkh.hr</w:t>
    </w:r>
  </w:p>
  <w:p w:rsidR="00EB7AC7" w:rsidRPr="006949AF" w:rsidRDefault="00EB7AC7" w:rsidP="006949AF">
    <w:pPr>
      <w:pStyle w:val="Footer"/>
      <w:jc w:val="right"/>
      <w:rPr>
        <w:sz w:val="20"/>
        <w:szCs w:val="20"/>
      </w:rPr>
    </w:pPr>
    <w:r w:rsidRPr="006949AF">
      <w:rPr>
        <w:rStyle w:val="PageNumber"/>
        <w:sz w:val="20"/>
        <w:szCs w:val="20"/>
      </w:rPr>
      <w:fldChar w:fldCharType="begin"/>
    </w:r>
    <w:r w:rsidRPr="006949AF">
      <w:rPr>
        <w:rStyle w:val="PageNumber"/>
        <w:sz w:val="20"/>
        <w:szCs w:val="20"/>
      </w:rPr>
      <w:instrText xml:space="preserve"> PAGE </w:instrText>
    </w:r>
    <w:r w:rsidRPr="006949AF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3</w:t>
    </w:r>
    <w:r w:rsidRPr="006949AF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C7" w:rsidRPr="005C1D04" w:rsidRDefault="00EB7AC7" w:rsidP="00FE5F57">
    <w:pPr>
      <w:pStyle w:val="Header"/>
      <w:spacing w:line="240" w:lineRule="atLeast"/>
      <w:ind w:left="172" w:right="-630"/>
      <w:jc w:val="center"/>
      <w:rPr>
        <w:rFonts w:ascii="Arial Narrow" w:hAnsi="Arial Narrow" w:cs="Arial Narrow"/>
        <w:sz w:val="16"/>
        <w:szCs w:val="16"/>
      </w:rPr>
    </w:pPr>
    <w:r w:rsidRPr="005C1D04">
      <w:rPr>
        <w:rFonts w:ascii="Arial Narrow" w:hAnsi="Arial Narrow" w:cs="Arial Narrow"/>
        <w:sz w:val="16"/>
        <w:szCs w:val="16"/>
      </w:rPr>
      <w:t>UDRUGA POKRETNIH KOMUNIKACIJA HRVATSKE∙MOBILE COMMUNICATION ASSOCIATION OF CROATIA∙</w:t>
    </w:r>
  </w:p>
  <w:p w:rsidR="00EB7AC7" w:rsidRPr="005C1D04" w:rsidRDefault="00EB7AC7" w:rsidP="00FE5F57">
    <w:pPr>
      <w:pStyle w:val="Header"/>
      <w:spacing w:line="240" w:lineRule="atLeast"/>
      <w:ind w:left="172" w:right="-630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Šrapčeva 5/I</w:t>
    </w:r>
    <w:r w:rsidRPr="005C1D04">
      <w:rPr>
        <w:rFonts w:ascii="Arial Narrow" w:hAnsi="Arial Narrow" w:cs="Arial Narrow"/>
        <w:sz w:val="16"/>
        <w:szCs w:val="16"/>
      </w:rPr>
      <w:t>∙HR-10 000 Zagreb∙CROATIA∙ Tel./fax: +385 1 4667-3</w:t>
    </w:r>
    <w:r>
      <w:rPr>
        <w:rFonts w:ascii="Arial Narrow" w:hAnsi="Arial Narrow" w:cs="Arial Narrow"/>
        <w:sz w:val="16"/>
        <w:szCs w:val="16"/>
      </w:rPr>
      <w:t>00</w:t>
    </w:r>
    <w:r w:rsidRPr="005C1D04">
      <w:rPr>
        <w:rFonts w:ascii="Arial Narrow" w:hAnsi="Arial Narrow" w:cs="Arial Narrow"/>
        <w:sz w:val="16"/>
        <w:szCs w:val="16"/>
      </w:rPr>
      <w:t xml:space="preserve"> ∙e-mail: </w:t>
    </w:r>
    <w:hyperlink r:id="rId1" w:history="1">
      <w:r w:rsidRPr="005C1D04">
        <w:rPr>
          <w:rStyle w:val="Hyperlink"/>
          <w:rFonts w:ascii="Arial Narrow" w:hAnsi="Arial Narrow" w:cs="Arial Narrow"/>
        </w:rPr>
        <w:t>upkh@upkh.hr</w:t>
      </w:r>
    </w:hyperlink>
    <w:r w:rsidRPr="005C1D04">
      <w:rPr>
        <w:rFonts w:ascii="Arial Narrow" w:hAnsi="Arial Narrow" w:cs="Arial Narrow"/>
        <w:sz w:val="16"/>
        <w:szCs w:val="16"/>
      </w:rPr>
      <w:t xml:space="preserve"> www.upkh.hr</w:t>
    </w:r>
  </w:p>
  <w:p w:rsidR="00EB7AC7" w:rsidRDefault="00EB7A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AC7" w:rsidRDefault="00EB7AC7">
      <w:r>
        <w:separator/>
      </w:r>
    </w:p>
  </w:footnote>
  <w:footnote w:type="continuationSeparator" w:id="0">
    <w:p w:rsidR="00EB7AC7" w:rsidRDefault="00EB7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C7" w:rsidRDefault="00EB7AC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65.75pt;height:93.7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466A"/>
    <w:multiLevelType w:val="hybridMultilevel"/>
    <w:tmpl w:val="C8E6A512"/>
    <w:lvl w:ilvl="0" w:tplc="FD52BC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DBF026A"/>
    <w:multiLevelType w:val="hybridMultilevel"/>
    <w:tmpl w:val="EFE6F3F4"/>
    <w:lvl w:ilvl="0" w:tplc="FB940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C95AA7"/>
    <w:multiLevelType w:val="hybridMultilevel"/>
    <w:tmpl w:val="217292EE"/>
    <w:lvl w:ilvl="0" w:tplc="0407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cs="Wingdings" w:hint="default"/>
      </w:rPr>
    </w:lvl>
  </w:abstractNum>
  <w:abstractNum w:abstractNumId="3">
    <w:nsid w:val="4DF27895"/>
    <w:multiLevelType w:val="hybridMultilevel"/>
    <w:tmpl w:val="4D6EE4F6"/>
    <w:lvl w:ilvl="0" w:tplc="8FBCA9A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cumentProtection w:edit="forms" w:enforcement="1" w:cryptProviderType="rsaFull" w:cryptAlgorithmClass="hash" w:cryptAlgorithmType="typeAny" w:cryptAlgorithmSid="4" w:cryptSpinCount="100000" w:hash="0OHpF2uTqr6PahbDS2SEXz12L44=" w:salt="UnjTmGL6gjzBy+rX7b6upQ=="/>
  <w:defaultTabStop w:val="720"/>
  <w:hyphenationZone w:val="425"/>
  <w:defaultTableStyle w:val="TableTheme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C18"/>
    <w:rsid w:val="000259D7"/>
    <w:rsid w:val="00031D36"/>
    <w:rsid w:val="00051712"/>
    <w:rsid w:val="000E5977"/>
    <w:rsid w:val="0011156C"/>
    <w:rsid w:val="001134DE"/>
    <w:rsid w:val="00117D44"/>
    <w:rsid w:val="00121329"/>
    <w:rsid w:val="001270E4"/>
    <w:rsid w:val="00133C77"/>
    <w:rsid w:val="001D6B49"/>
    <w:rsid w:val="002A731E"/>
    <w:rsid w:val="002B1960"/>
    <w:rsid w:val="00302768"/>
    <w:rsid w:val="003233B6"/>
    <w:rsid w:val="003307DE"/>
    <w:rsid w:val="0034057D"/>
    <w:rsid w:val="003A6548"/>
    <w:rsid w:val="003B3D47"/>
    <w:rsid w:val="003E218E"/>
    <w:rsid w:val="003E2B76"/>
    <w:rsid w:val="00416076"/>
    <w:rsid w:val="00443AB2"/>
    <w:rsid w:val="00491339"/>
    <w:rsid w:val="004A19C4"/>
    <w:rsid w:val="004B43B9"/>
    <w:rsid w:val="004D2F3F"/>
    <w:rsid w:val="004D508E"/>
    <w:rsid w:val="00504897"/>
    <w:rsid w:val="005B2900"/>
    <w:rsid w:val="005C1D04"/>
    <w:rsid w:val="005D6DBA"/>
    <w:rsid w:val="005E5574"/>
    <w:rsid w:val="00661CFD"/>
    <w:rsid w:val="006949AF"/>
    <w:rsid w:val="006B482A"/>
    <w:rsid w:val="006D1343"/>
    <w:rsid w:val="007525F1"/>
    <w:rsid w:val="007F6247"/>
    <w:rsid w:val="00805DA5"/>
    <w:rsid w:val="00831266"/>
    <w:rsid w:val="00886EF5"/>
    <w:rsid w:val="008B49D9"/>
    <w:rsid w:val="00902856"/>
    <w:rsid w:val="0092755E"/>
    <w:rsid w:val="009A0BFA"/>
    <w:rsid w:val="009A66F7"/>
    <w:rsid w:val="009E3481"/>
    <w:rsid w:val="009F1C88"/>
    <w:rsid w:val="009F254B"/>
    <w:rsid w:val="00A353B5"/>
    <w:rsid w:val="00A35B90"/>
    <w:rsid w:val="00A4770D"/>
    <w:rsid w:val="00A53BCD"/>
    <w:rsid w:val="00A551B9"/>
    <w:rsid w:val="00A80AFC"/>
    <w:rsid w:val="00B11448"/>
    <w:rsid w:val="00B66CEB"/>
    <w:rsid w:val="00B70886"/>
    <w:rsid w:val="00B93FD7"/>
    <w:rsid w:val="00C47C18"/>
    <w:rsid w:val="00C60078"/>
    <w:rsid w:val="00C767A9"/>
    <w:rsid w:val="00C851F4"/>
    <w:rsid w:val="00CA3545"/>
    <w:rsid w:val="00D02751"/>
    <w:rsid w:val="00D02C52"/>
    <w:rsid w:val="00D439CF"/>
    <w:rsid w:val="00D8271F"/>
    <w:rsid w:val="00DB04EA"/>
    <w:rsid w:val="00DD432F"/>
    <w:rsid w:val="00E80A5C"/>
    <w:rsid w:val="00E96CB7"/>
    <w:rsid w:val="00EB7AC7"/>
    <w:rsid w:val="00ED20BB"/>
    <w:rsid w:val="00ED3F11"/>
    <w:rsid w:val="00EE5F5A"/>
    <w:rsid w:val="00EF23A7"/>
    <w:rsid w:val="00F3550E"/>
    <w:rsid w:val="00F36907"/>
    <w:rsid w:val="00F801B1"/>
    <w:rsid w:val="00F95DFC"/>
    <w:rsid w:val="00FC1BF9"/>
    <w:rsid w:val="00FE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Table Theme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9AF"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9AF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49AF"/>
    <w:pPr>
      <w:keepNext/>
      <w:spacing w:before="240" w:after="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49AF"/>
    <w:pPr>
      <w:keepNext/>
      <w:spacing w:before="240" w:after="6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49AF"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6949AF"/>
    <w:pPr>
      <w:spacing w:before="240" w:after="60"/>
      <w:outlineLvl w:val="4"/>
    </w:pPr>
    <w:rPr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49AF"/>
    <w:pPr>
      <w:spacing w:before="240" w:after="60"/>
      <w:outlineLvl w:val="5"/>
    </w:pPr>
    <w:rPr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0C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0C1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0C1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0C1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0C1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0C1"/>
    <w:rPr>
      <w:rFonts w:asciiTheme="minorHAnsi" w:eastAsiaTheme="minorEastAsia" w:hAnsiTheme="minorHAnsi" w:cstheme="minorBidi"/>
      <w:b/>
      <w:bCs/>
      <w:color w:val="000000"/>
    </w:rPr>
  </w:style>
  <w:style w:type="table" w:styleId="TableTheme">
    <w:name w:val="Table Theme"/>
    <w:basedOn w:val="TableNormal"/>
    <w:uiPriority w:val="99"/>
    <w:rsid w:val="006949AF"/>
    <w:rPr>
      <w:rFonts w:ascii="Arial" w:hAnsi="Arial"/>
      <w:sz w:val="20"/>
      <w:szCs w:val="20"/>
    </w:rPr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949AF"/>
    <w:rPr>
      <w:color w:val="3333CC"/>
      <w:u w:val="single"/>
    </w:rPr>
  </w:style>
  <w:style w:type="character" w:styleId="FollowedHyperlink">
    <w:name w:val="FollowedHyperlink"/>
    <w:basedOn w:val="DefaultParagraphFont"/>
    <w:uiPriority w:val="99"/>
    <w:rsid w:val="006949AF"/>
    <w:rPr>
      <w:color w:val="999999"/>
      <w:u w:val="single"/>
    </w:rPr>
  </w:style>
  <w:style w:type="paragraph" w:styleId="Header">
    <w:name w:val="header"/>
    <w:basedOn w:val="Normal"/>
    <w:link w:val="HeaderChar"/>
    <w:uiPriority w:val="99"/>
    <w:rsid w:val="006949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00C1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949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00C1"/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6949AF"/>
  </w:style>
  <w:style w:type="paragraph" w:customStyle="1" w:styleId="Default">
    <w:name w:val="Default"/>
    <w:uiPriority w:val="99"/>
    <w:rsid w:val="009F1C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hr-HR"/>
    </w:rPr>
  </w:style>
  <w:style w:type="paragraph" w:customStyle="1" w:styleId="CharChar1CharCharChar">
    <w:name w:val="Char Char1 Char Char Char"/>
    <w:basedOn w:val="Normal"/>
    <w:uiPriority w:val="99"/>
    <w:rsid w:val="009F1C88"/>
    <w:pPr>
      <w:spacing w:after="160" w:line="240" w:lineRule="exact"/>
    </w:pPr>
    <w:rPr>
      <w:rFonts w:ascii="Tahoma" w:hAnsi="Tahoma" w:cs="Tahoma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127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70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0E4"/>
    <w:rPr>
      <w:rFonts w:ascii="Arial" w:hAnsi="Arial" w:cs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7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0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2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0E4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92755E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7690">
              <w:marLeft w:val="0"/>
              <w:marRight w:val="0"/>
              <w:marTop w:val="23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pkh@upkh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pkh@upkh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3</Pages>
  <Words>990</Words>
  <Characters>5645</Characters>
  <Application>Microsoft Office Outlook</Application>
  <DocSecurity>0</DocSecurity>
  <Lines>0</Lines>
  <Paragraphs>0</Paragraphs>
  <ScaleCrop>false</ScaleCrop>
  <Company> upkh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zajednička euro stajališta</dc:title>
  <dc:subject/>
  <dc:creator> </dc:creator>
  <cp:keywords/>
  <dc:description/>
  <cp:lastModifiedBy> </cp:lastModifiedBy>
  <cp:revision>4</cp:revision>
  <cp:lastPrinted>2011-10-10T11:33:00Z</cp:lastPrinted>
  <dcterms:created xsi:type="dcterms:W3CDTF">2011-10-10T11:21:00Z</dcterms:created>
  <dcterms:modified xsi:type="dcterms:W3CDTF">2011-10-10T11:35:00Z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Watermar 000</vt:lpwstr>
  </property>
</Properties>
</file>